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Gethsemane Alone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#310 Praise for the Lord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Oh, what wondrous love I see,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Freely shown for you and me,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By the One Who did atone!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Just to show His matchless grace,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Jesus suffered for the race,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Gethsemane, alone.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Oh, what love, matchless love,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Oh, what love for me was shown!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His forever I will be,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the love He gave to me,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When He suffered all alone.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“Tarry here,” He told the three,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“Tarry here and watch for Me,”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But they heard no bitter moan;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For the three disciples slept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While my loving Savior wept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Gethsemane, alone. [Refrain]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Long in anguish deep was He,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Weeping there for you and me,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For our sin to Him was known;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We should love Him evermore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For the anguish that He bore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 Gethsemane, alone. [Refrain]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Solo, en Getsemaní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¡Qué maravilloso_amor,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Nos mostró el Redentor,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Libremente_a ti y_a mí!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 su sin igual bondad,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Sufrió por la_humanidad,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Solo, en Getsemaní.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¡Oh, que_amor sin igual,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Oh, que_amor por mí mostró!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Todo_entrego_al Salvador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Pues me dio su_impar amor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Cuando a solas Él sufrió.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los tres dijo: Velad,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 aquí conmigo_orad.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Mas no_oyeron nada_allí;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Se durmieron, y_el Señor,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Sin amigo,_allí lloró,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Solo, en Getsemaní.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3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Mucho llanto y_aflicción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Él, por nuestra transgresión,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Soportó por ti_y por mí.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Digno_es Él de nuestro_amor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Por la angustia que_aguantó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Solo, en Getsemaní.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