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Jesus, Keep Me Near the Cross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Verse 1: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Jesus, keep me near the cross,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there a precious fountain,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free to all, a healing stream,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flows from Calvary's mountain.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In the cross, in the cross,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be my glory ever;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'til my raptured soul shall find,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rest beyond the river.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Verse 2: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Near the cross, a trembling soul,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love and mercy found me;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there the bright and morning star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 sheds its beams around me.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Verse 3: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Near the cross! O Lamb of God,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bring its scenes before me;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help me walk from day to day,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with its shadows over me.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Verse 4: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Near the cross I'll watch and wait,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hoping, trusting ever,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'til I reach the golden strand,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just beyond the river.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Cristo,_acércame_a la cruz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Cristo,_acércame_a la cruz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Do_hay preciosa fuente;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Del Calvario sanación 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Fluye_a los creyentes.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En la cruz, en la cruz,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Sea_el gozo mío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Hasta reposar mi ser 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Más allá del río.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Cerca de la cruz tu_amor 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Me halló temblando;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Del lucero_allí yo fui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De fulgor rodeado.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Cerca de la cruz por fe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Veo al Cordero.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Que la sombra de_esa cruz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Cubra mi sendero.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Cerca de la cruz estoy;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Miro y confío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Hasta_orilla de_oro ver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Más allá del río. 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