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Keep Jesus waiting?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#763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Why keep Jesus waiting,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waiting in the cold?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 will bear you gently,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gently to His fold;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See Him, soul, and open,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open, I implore.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Why keep Jesus waiting,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waiting at the door?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Oft He knocketh softly,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softly, o’er and o’er;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Hear Him, soul, and open,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open, I implore.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Why keep Jesus pleading,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pleading at the door?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 would be your Savior,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ever, evermore;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Love Him, soul, and open,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open, I implore.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Why keep Jesus waiting— knocking at the door?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Soon He’ll cease His pleading,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yes, forevermore;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Come, poor soul, obey Him,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open, I implore.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¿Por qué hacerle esperar?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¿Por qué_hacerle_a Cristo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Esperar allí?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Con ternura quiere,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Guiarte_a su redil.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Míralo,_alma, y_abre,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Abre, por favor.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¿Por qué_hacer que_espere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En la puerta_allí?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Muchas veces llama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Suavemente_a ti.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Óyelo,_alma, y_abre,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Abre, por favor.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¿Por qué_hacer que_implore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En la puerta_allí?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Él salvarte quiere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Para siempre_a ti.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Ámalo,_alma, y_abre,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Abre, por favor.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¿Por qué_hacer que_Él llame,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Esperando_allí?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El se_irá muy pronto –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Para siempre, sí.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Obedece,_o pobre,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Abre, por favor.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